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751" w:rsidRDefault="00C42751" w:rsidP="00C42751">
      <w:pPr>
        <w:overflowPunct w:val="0"/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C42751" w:rsidRDefault="00C42751" w:rsidP="00C42751">
      <w:pPr>
        <w:overflowPunct w:val="0"/>
        <w:spacing w:line="560" w:lineRule="exact"/>
        <w:rPr>
          <w:sz w:val="32"/>
          <w:szCs w:val="32"/>
        </w:rPr>
      </w:pPr>
    </w:p>
    <w:p w:rsidR="00C42751" w:rsidRDefault="00C42751" w:rsidP="00C42751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国内高校名单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  <w:bookmarkStart w:id="0" w:name="_GoBack"/>
      <w:bookmarkEnd w:id="0"/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黑体" w:eastAsia="黑体" w:hAnsi="黑体" w:cs="方正楷体简体" w:hint="eastAsia"/>
          <w:bCs/>
          <w:sz w:val="32"/>
          <w:szCs w:val="32"/>
        </w:rPr>
      </w:pPr>
      <w:r>
        <w:rPr>
          <w:rFonts w:ascii="黑体" w:eastAsia="黑体" w:hAnsi="黑体" w:cs="方正楷体简体" w:hint="eastAsia"/>
          <w:bCs/>
          <w:sz w:val="32"/>
          <w:szCs w:val="32"/>
        </w:rPr>
        <w:t>一、一流大学建设高校42所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1. A类36所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2. B类6所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eastAsia="方正仿宋简体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东北大学、郑州大学、湖南大学、云南大学、西北农林科技大学、新疆大学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黑体" w:eastAsia="黑体" w:hAnsi="黑体" w:cs="方正楷体简体" w:hint="eastAsia"/>
          <w:bCs/>
          <w:sz w:val="32"/>
          <w:szCs w:val="32"/>
        </w:rPr>
      </w:pPr>
      <w:r>
        <w:rPr>
          <w:rFonts w:ascii="黑体" w:eastAsia="黑体" w:hAnsi="黑体" w:cs="方正楷体简体" w:hint="eastAsia"/>
          <w:bCs/>
          <w:sz w:val="32"/>
          <w:szCs w:val="32"/>
        </w:rPr>
        <w:t>二、一流学科建设高校95所</w:t>
      </w:r>
    </w:p>
    <w:p w:rsidR="00C42751" w:rsidRDefault="00C42751" w:rsidP="00C42751">
      <w:pPr>
        <w:overflowPunct w:val="0"/>
        <w:spacing w:line="560" w:lineRule="exact"/>
        <w:ind w:firstLineChars="200" w:firstLine="672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</w:t>
      </w:r>
      <w:r>
        <w:rPr>
          <w:rFonts w:ascii="仿宋_GB2312" w:eastAsia="仿宋_GB2312" w:hint="eastAsia"/>
          <w:kern w:val="0"/>
          <w:sz w:val="32"/>
          <w:szCs w:val="32"/>
        </w:rPr>
        <w:lastRenderedPageBreak/>
        <w:t>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C705C8" w:rsidRDefault="00C705C8"/>
    <w:sectPr w:rsidR="00C70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Malgun Gothic Semilight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楷体">
    <w:altName w:val="Malgun Gothic Semilight"/>
    <w:charset w:val="86"/>
    <w:family w:val="modern"/>
    <w:pitch w:val="default"/>
    <w:sig w:usb0="00000000" w:usb1="38CF7CFA" w:usb2="00000016" w:usb3="00000000" w:csb0="00040001" w:csb1="00000000"/>
  </w:font>
  <w:font w:name="仿宋_GB2312">
    <w:altName w:val="Malgun Gothic Semilight"/>
    <w:charset w:val="86"/>
    <w:family w:val="modern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D78"/>
    <w:rsid w:val="00A04D78"/>
    <w:rsid w:val="00C42751"/>
    <w:rsid w:val="00C7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427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7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4275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427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7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4275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2019-11-09T10:20:00Z</dcterms:created>
  <dcterms:modified xsi:type="dcterms:W3CDTF">2019-11-09T10:20:00Z</dcterms:modified>
</cp:coreProperties>
</file>