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80" w:lineRule="auto"/>
        <w:ind w:left="0" w:right="0" w:firstLine="640"/>
        <w:jc w:val="left"/>
      </w:pPr>
      <w:bookmarkStart w:id="0" w:name="_GoBack"/>
      <w:r>
        <w:rPr>
          <w:rFonts w:ascii="黑体" w:hAnsi="宋体" w:eastAsia="黑体" w:cs="黑体"/>
          <w:kern w:val="0"/>
          <w:sz w:val="32"/>
          <w:szCs w:val="32"/>
          <w:lang w:val="en-US" w:eastAsia="zh-CN" w:bidi="ar"/>
        </w:rPr>
        <w:t>各层次博士条件及待遇</w:t>
      </w:r>
      <w:bookmarkEnd w:id="0"/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80" w:lineRule="auto"/>
        <w:ind w:left="0" w:right="0"/>
        <w:jc w:val="left"/>
      </w:pPr>
      <w:r>
        <w:rPr>
          <w:rFonts w:ascii="仿宋" w:hAnsi="仿宋" w:eastAsia="仿宋" w:cs="仿宋"/>
          <w:kern w:val="0"/>
          <w:sz w:val="32"/>
          <w:szCs w:val="32"/>
          <w:lang w:val="en-US" w:eastAsia="zh-CN" w:bidi="ar"/>
        </w:rPr>
        <w:t xml:space="preserve">   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（一）各层次博士要求和条件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74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3" w:hRule="atLeast"/>
          <w:jc w:val="center"/>
        </w:trPr>
        <w:tc>
          <w:tcPr>
            <w:tcW w:w="10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  <w:tc>
          <w:tcPr>
            <w:tcW w:w="7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年龄不超过40周岁，近五年（博士在读期间和工作期间）科研成果满足以下条件之一：</w:t>
            </w: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1.近五年作为首位人员在SCI(SSCI)二区以上刊物发表论文 5篇或在CSSCI前20%刊物发表论文5篇，或论文单篇SCI影响因子≥10.0或累计SCI影响因子≥20.0。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2.近五年至少主持过1项省部级科研项目。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3.作为主要完成人（排名前五）获得国家级科研奖励；或省部级科技奖励一等奖前三位、二等奖前二位、三等奖首位或社会科学优秀成果奖二等奖及以上首位。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8" w:hRule="atLeast"/>
          <w:jc w:val="center"/>
        </w:trPr>
        <w:tc>
          <w:tcPr>
            <w:tcW w:w="1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第二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  <w:tc>
          <w:tcPr>
            <w:tcW w:w="7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年龄不超过40周岁，近五年（博士在读期间和工作期间）科研成果满足以下条件之一：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1.近五年作为首位人员在SCI(SSCI)二区以上刊物发表论文3篇或在CSSCI前20%刊物发表论文3篇，或论文单篇SCI影响因子≥5.0或累计SCI影响因子≥10.0。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 作为主要完成人（排名第一）获得市级科研奖励一等奖；或省部级科技奖励三等奖及以上前三位。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  <w:jc w:val="center"/>
        </w:trPr>
        <w:tc>
          <w:tcPr>
            <w:tcW w:w="1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第三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  <w:tc>
          <w:tcPr>
            <w:tcW w:w="7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年龄一般不超过35周岁；能胜任岗位工作，有扎实的科研基础，近五年（博士在读期间和工作期间）作为首位人员发表SCI(SSCI)或中文核心期刊论文1篇及以上。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80" w:lineRule="auto"/>
        <w:ind w:left="0" w:right="0" w:firstLine="640"/>
        <w:jc w:val="left"/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（二）相关层次博士待遇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906"/>
        <w:gridCol w:w="1610"/>
        <w:gridCol w:w="891"/>
        <w:gridCol w:w="1257"/>
        <w:gridCol w:w="3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10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安家费1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安家费2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博士科研基金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配偶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</w:tc>
        <w:tc>
          <w:tcPr>
            <w:tcW w:w="35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其他待遇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  <w:jc w:val="center"/>
        </w:trPr>
        <w:tc>
          <w:tcPr>
            <w:tcW w:w="8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第一层次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80万元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1.博士期间以第一作者（排名第一）发表本专业学术论文，被SCI（SSCI）收录者，论文按影响因子1分1万增加安家费。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2.全日制大学本科、硕士、博士毕业学校均为211、985、双一流建设高校的，另加5万元安家费。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100万元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符合医院人员控制总量、人事代理招聘条件的，优先招聘纳入控制总量、人事代理。不符合上述公开招聘条件的安排人才派遣岗位。</w:t>
            </w:r>
          </w:p>
        </w:tc>
        <w:tc>
          <w:tcPr>
            <w:tcW w:w="35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1.总量控制备案制管理，享受事业编制工资福利待遇。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2.住院医师规范化培训期间，发放固定绩效奖金5000元/月。无规培要求专业入职一年内，发放固定绩效奖金5000元/月。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3.入职后一年内，按照1500元/月报销过渡房租赁费用。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4.报销符合我院规定的来院考察往返路费及住宿费。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5.符合省“青优计划”的优秀青年人才，按照在事业单位工作每满1年补贴5万元，最高补贴3年15万元的标准发放生活补贴。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6.首次在济宁市参加社会保险并正常缴费的，享受每人3000元/月补贴，连续发放3年。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7.来济宁初次就业，3年内在济宁购买商品住房的，市财政给予10万元的购房补贴，其中对全球TOP200院校的博士研究生给予20万元的购房补贴。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  <w:jc w:val="center"/>
        </w:trPr>
        <w:tc>
          <w:tcPr>
            <w:tcW w:w="8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第二层次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70万元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60万元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  <w:jc w:val="center"/>
        </w:trPr>
        <w:tc>
          <w:tcPr>
            <w:tcW w:w="8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第三层次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60万元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40万元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B69A3"/>
    <w:rsid w:val="5AEB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2019-12-24T03:03:00Z</dcterms:created>
  <dc:creator>Yan</dc:creator>
  <cp:lastModifiedBy>Yan</cp:lastModifiedBy>
  <dcterms:modified xsi:type="dcterms:W3CDTF">2019-12-24T03:03:38Z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2052-11.1.0.9332</vt:lpwstr>
  </property>
</Properties>
</file>