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0483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9"/>
        <w:gridCol w:w="2227"/>
        <w:gridCol w:w="1414"/>
        <w:gridCol w:w="2166"/>
        <w:gridCol w:w="1477"/>
        <w:gridCol w:w="238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</w:trPr>
        <w:tc>
          <w:tcPr>
            <w:tcW w:w="8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_GB2312" w:hAnsi="宋体" w:eastAsia="仿宋_GB2312" w:cs="仿宋_GB2312"/>
                <w:b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 </w:t>
            </w: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21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学历要求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专业要求</w:t>
            </w:r>
          </w:p>
        </w:tc>
        <w:tc>
          <w:tcPr>
            <w:tcW w:w="23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其它要求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2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超声医师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1人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本科及以上学历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临床医学或影像医学专业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具有医师资格证书和大型设备上岗证，具有超声工作经验者优先考虑。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2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静配中心药师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2人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本科及以上学历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普通高等院校药学专业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 w:line="600" w:lineRule="atLeast"/>
              <w:ind w:left="0" w:right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</w:rPr>
              <w:t>具有初级药师执业资格证书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或具有静脉药物配制中心工作经历者优先考虑。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2" w:hRule="atLeast"/>
        </w:trPr>
        <w:tc>
          <w:tcPr>
            <w:tcW w:w="8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2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皮肤科医师助理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1人</w:t>
            </w:r>
          </w:p>
        </w:tc>
        <w:tc>
          <w:tcPr>
            <w:tcW w:w="2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全日制本科及以上学历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临床医学专业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caps w:val="0"/>
                <w:spacing w:val="0"/>
                <w:kern w:val="0"/>
                <w:sz w:val="32"/>
                <w:szCs w:val="32"/>
                <w:lang w:val="en-US" w:eastAsia="zh-CN" w:bidi="ar"/>
              </w:rPr>
              <w:t>具有医师资格证书者优先考虑。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F6896"/>
    <w:rsid w:val="7B6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2019-11-29T08:48:00Z</dcterms:created>
  <dc:creator>张翠</dc:creator>
  <cp:lastModifiedBy>张翠</cp:lastModifiedBy>
  <dcterms:modified xsi:type="dcterms:W3CDTF">2019-11-29T08:49:31Z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