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480" w:lineRule="auto"/>
        <w:ind w:left="0" w:right="0" w:firstLine="640"/>
        <w:jc w:val="left"/>
      </w:pPr>
      <w:r>
        <w:rPr>
          <w:rFonts w:ascii="黑体" w:hAnsi="宋体" w:eastAsia="黑体" w:cs="黑体"/>
          <w:kern w:val="0"/>
          <w:sz w:val="32"/>
          <w:szCs w:val="32"/>
          <w:lang w:val="en-US" w:eastAsia="zh-CN" w:bidi="ar"/>
        </w:rPr>
        <w:t>招聘岗位数量及要求</w:t>
      </w:r>
    </w:p>
    <w:tbl>
      <w:tblPr>
        <w:tblW w:w="0" w:type="auto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6"/>
        <w:gridCol w:w="2600"/>
        <w:gridCol w:w="1000"/>
        <w:gridCol w:w="3623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tblHeader/>
          <w:jc w:val="center"/>
        </w:trPr>
        <w:tc>
          <w:tcPr>
            <w:tcW w:w="9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6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10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36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消化内科医师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呼吸内科医师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心内科医师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肿瘤科医师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内分泌科医师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肾内科医师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神经内科医师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血液科医师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风湿免疫科医师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感染性疾病科医师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介入治疗科医师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儿科医师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肝胆外科医师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血管外科医师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胃肠外科医师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乳腺外科医师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甲状腺外科医师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肛肠外科医师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神经外科医师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心脏外科医师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胸外科医师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泌尿外科医师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小儿外科医师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妇科医师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产科医师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脊柱外科医师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骨关节科医师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创伤骨科医师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手足外科医师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耳鼻喉科医师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眼科医师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口腔颌面外科医师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口腔门诊医师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皮肤科医师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麻醉科医师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整形美容科医师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急诊科医师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心脏急诊科医师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康复医学科医师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重症医学科医师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医学影像科医师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超声科医师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输血科医师/技师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要求临床检验诊断学、血液病学、临床检验输血方向、免疫学、生物化学与分子生物学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科研处科员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要求社会医学与卫生事业管理或流行病与卫生统计学专业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中心实验室科研岗位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要求流行病与卫生统计学、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细胞生物学、生物化学与分子生物学、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免疫学、人体解剖与组织胚胎学等专业，专职从事科研工作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科研平台及各研究所科研岗位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要求生物化学与分子生物学、遗传学、免疫学、肿瘤学、干细胞、神经生物学、临床医学相关专业，专职从事科研工作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356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46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818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C00000"/>
                <w:kern w:val="0"/>
                <w:sz w:val="32"/>
                <w:szCs w:val="32"/>
                <w:lang w:val="en-US" w:eastAsia="zh-CN" w:bidi="ar"/>
              </w:rPr>
              <w:t>博士第一、二层次不受招聘岗位限制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540DC9"/>
    <w:rsid w:val="35540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2019-12-24T03:02:00Z</dcterms:created>
  <dc:creator>Yan</dc:creator>
  <cp:lastModifiedBy>Yan</cp:lastModifiedBy>
  <dcterms:modified xsi:type="dcterms:W3CDTF">2019-12-24T03:03:11Z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2052-11.1.0.9332</vt:lpwstr>
  </property>
</Properties>
</file>