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楷体" w:eastAsia="仿宋_GB2312" w:cs="仿宋_GB2312"/>
          <w:b/>
          <w:bCs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潍坊市第二人民医院聘用制人员需求计划</w:t>
      </w:r>
    </w:p>
    <w:tbl>
      <w:tblPr>
        <w:tblStyle w:val="4"/>
        <w:tblpPr w:leftFromText="180" w:rightFromText="180" w:vertAnchor="text" w:horzAnchor="page" w:tblpX="1384" w:tblpY="303"/>
        <w:tblOverlap w:val="never"/>
        <w:tblW w:w="93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0"/>
        <w:gridCol w:w="1290"/>
        <w:gridCol w:w="1993"/>
        <w:gridCol w:w="1202"/>
        <w:gridCol w:w="2773"/>
        <w:gridCol w:w="14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  <w:lang w:eastAsia="zh-CN"/>
              </w:rPr>
              <w:t>岗位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  <w:lang w:eastAsia="zh-CN"/>
              </w:rPr>
              <w:t>专业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需求人数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条件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黑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8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中医师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中医学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康复治疗师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康复学或康复技术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全日制大学及以上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放射科技师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全日制大专(高中起点)及以上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2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儿科医师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临床医学或儿科学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全日制本科及以上，取得执业医师资格和规培证。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8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  <w:t>药剂师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中药学、药剂学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2（中、西药各1）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药学专业全日制本科及以上或全日制大专（高中起点）、有5年以上二级及以上医院相关工作经验。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放疗技师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医学影像技术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全日制大专（高中起点）学历及以上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预防保健科科员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公共卫生或预防医学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全日制本科及以上，取得公共执业医师资格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会计学、财务管理相关专业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  <w:lang w:eastAsia="zh-CN"/>
              </w:rPr>
              <w:t>办公室科员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新闻传播学、汉语言文学等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医保办科员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医疗保险、劳动与社会保障、公共事业管理专业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11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人力资源部科员</w:t>
            </w:r>
          </w:p>
        </w:tc>
        <w:tc>
          <w:tcPr>
            <w:tcW w:w="1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人力资源管理、行政管理</w:t>
            </w:r>
          </w:p>
        </w:tc>
        <w:tc>
          <w:tcPr>
            <w:tcW w:w="12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27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全日制硕士研究生及以上</w:t>
            </w:r>
          </w:p>
        </w:tc>
        <w:tc>
          <w:tcPr>
            <w:tcW w:w="1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聘用制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B67EE2"/>
    <w:rsid w:val="49B6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2019-11-12T07:11:00Z</dcterms:created>
  <dc:creator>工作中</dc:creator>
  <cp:lastModifiedBy>工作中</cp:lastModifiedBy>
  <dcterms:modified xsi:type="dcterms:W3CDTF">2019-11-12T07:14:01Z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